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leader="none" w:pos="4960"/>
          <w:tab w:val="left" w:leader="none" w:pos="5103"/>
          <w:tab w:val="left" w:leader="none" w:pos="6585"/>
        </w:tabs>
        <w:rPr>
          <w:sz w:val="22"/>
          <w:szCs w:val="22"/>
        </w:rPr>
      </w:pPr>
      <w:r w:rsidDel="00000000" w:rsidR="00000000" w:rsidRPr="00000000">
        <w:rPr>
          <w:sz w:val="22"/>
          <w:szCs w:val="22"/>
          <w:rtl w:val="0"/>
        </w:rPr>
        <w:t xml:space="preserve">ДОГОВОР №</w:t>
      </w:r>
      <w:r w:rsidDel="00000000" w:rsidR="00000000" w:rsidRPr="00000000">
        <w:rPr>
          <w:rtl w:val="0"/>
        </w:rPr>
        <w:t xml:space="preserve"> </w:t>
      </w:r>
      <w:r w:rsidDel="00000000" w:rsidR="00000000" w:rsidRPr="00000000">
        <w:rPr>
          <w:highlight w:val="yellow"/>
          <w:rtl w:val="0"/>
        </w:rPr>
        <w:t xml:space="preserve">____</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1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w:t>
      </w:r>
      <w:r w:rsidDel="00000000" w:rsidR="00000000" w:rsidRPr="00000000">
        <w:rPr>
          <w:sz w:val="22"/>
          <w:szCs w:val="22"/>
          <w:rtl w:val="0"/>
        </w:rPr>
        <w:t xml:space="preserve">Москва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 xml:space="preserve">        </w:t>
        <w:tab/>
        <w:tab/>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     »       2023г.</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1"/>
        <w:rPr>
          <w:sz w:val="22"/>
          <w:szCs w:val="22"/>
        </w:rPr>
      </w:pPr>
      <w:bookmarkStart w:colFirst="0" w:colLast="0" w:name="_heading=h.gjdgxs" w:id="0"/>
      <w:bookmarkEnd w:id="0"/>
      <w:r w:rsidDel="00000000" w:rsidR="00000000" w:rsidRPr="00000000">
        <w:rPr>
          <w:sz w:val="22"/>
          <w:szCs w:val="22"/>
          <w:rtl w:val="0"/>
        </w:rPr>
        <w:t xml:space="preserve">ООО "Интер Диджитал", именуемое в дальнейшем «Исполнитель», в лице Генерального директора Лазарева С.Е., действующего на основании Устава, с одной стороны, и </w:t>
      </w:r>
      <w:r w:rsidDel="00000000" w:rsidR="00000000" w:rsidRPr="00000000">
        <w:rPr>
          <w:sz w:val="22"/>
          <w:szCs w:val="22"/>
          <w:highlight w:val="yellow"/>
          <w:rtl w:val="0"/>
        </w:rPr>
        <w:t xml:space="preserve">__________,</w:t>
      </w:r>
      <w:r w:rsidDel="00000000" w:rsidR="00000000" w:rsidRPr="00000000">
        <w:rPr>
          <w:sz w:val="22"/>
          <w:szCs w:val="22"/>
          <w:rtl w:val="0"/>
        </w:rPr>
        <w:t xml:space="preserve"> именуемое в дальнейшем «Заказчик», в лице </w:t>
      </w:r>
      <w:r w:rsidDel="00000000" w:rsidR="00000000" w:rsidRPr="00000000">
        <w:rPr>
          <w:sz w:val="22"/>
          <w:szCs w:val="22"/>
          <w:highlight w:val="yellow"/>
          <w:rtl w:val="0"/>
        </w:rPr>
        <w:t xml:space="preserve">_________,</w:t>
      </w:r>
      <w:r w:rsidDel="00000000" w:rsidR="00000000" w:rsidRPr="00000000">
        <w:rPr>
          <w:sz w:val="22"/>
          <w:szCs w:val="22"/>
          <w:rtl w:val="0"/>
        </w:rPr>
        <w:t xml:space="preserve"> действующего на основании </w:t>
      </w:r>
      <w:r w:rsidDel="00000000" w:rsidR="00000000" w:rsidRPr="00000000">
        <w:rPr>
          <w:sz w:val="22"/>
          <w:szCs w:val="22"/>
          <w:highlight w:val="yellow"/>
          <w:rtl w:val="0"/>
        </w:rPr>
        <w:t xml:space="preserve">Устава</w:t>
      </w:r>
      <w:r w:rsidDel="00000000" w:rsidR="00000000" w:rsidRPr="00000000">
        <w:rPr>
          <w:sz w:val="22"/>
          <w:szCs w:val="22"/>
          <w:rtl w:val="0"/>
        </w:rPr>
        <w:t xml:space="preserve">,  с другой стороны, вместе именуемые «Стороны», заключили настоящий Договор о нижеследующем:</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Предмет договора</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обязуется по заданию Заказчика оказывать услуги и выполнять работы, направленные на размещение рекламно-информационных материалов (далее - рекламы) Заказчика или его Клиентов (далее – рекламодателей) в средствах массовой информации, на объектах наружной рекламы и в интернете (далее – </w:t>
      </w:r>
      <w:r w:rsidDel="00000000" w:rsidR="00000000" w:rsidRPr="00000000">
        <w:rPr>
          <w:sz w:val="22"/>
          <w:szCs w:val="22"/>
          <w:rtl w:val="0"/>
        </w:rPr>
        <w:t xml:space="preserve">медиа поставщики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иных рекламоносителях, согласованных сторонами, а Заказчик обязуется принять надлежащим образом оказанные услуги и оплатить их в порядке и в размере, установленном настоящим Договором.</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Условия и порядок оказания услуг, согласование и одобрение.</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Основные права и обязанности Сторон.</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Условия оказания услуг и выполнения работ, а именно, их состав и перечень, сроки начала и окончания их оказания/выполнения, рекламируемые лица, товары (работы, услуги), идеи и начинания (далее – бренды), виды рекламоносителей, сроки предоставления оригинал-макетов, рекламных материалов, к телевизионным и радио роликам, продолжительность телевизионных и радио роликов, сроки предоставления рекламы и отказа от размещения, объем и количество рекламы, сроки (графики) размещения (трансляции), порядок и сроки их предоставления и утверждения, тиражи, стоимость услуг по размещению рекламы и иные существенные условия размещения рекламы рекламодателей определяются Сторонами в Приложениях и/или Дополнительных соглашениях к настоящему Договору, которые являются его неотъемлемой частью после подписания Сторонами.</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Оказание рекламных услуг Исполнитель производит лично или с привлечением третьих лиц, оставаясь при этом ответственным перед Заказчиком за последствия неисполнения или ненадлежащего исполнения обязательств таких третьих лиц.</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Выполнение работ услуг по размещению рекламы включает, но не ограничивается выполнением других, необходимых и сопутствующих работ и услуг:</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поиск, проведение переговоров и заключение сделок с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 другими третьими лицами по размещению рекламы и по другим вопросам, связанным с оказанием услуг/выполнением работ для Заказчика.</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услуги по медиапланированию, т.е. работы по составлению планов, графиков, адресных программ размещения рекламы на основе заданий Заказчика или с использованием данных исследований и согласование их с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услуги по проверке, корректировке и оперативному уточнению графиков размещения рекламы, резервирование мест в рекламных блоках, поверхностей, изданий и т.п. и их позиционированию.</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услуги по проверке наличия разрешительной документации на размещение и освещение рекламных конструкций, используемых для оказания услуг по размещению рекламы.</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работы по получению от Заказчика и/или рекламодателей и предоставлению в надлежащем виде информации о хронометраже, версии рекламы, названии товара, сертификации, а также информации об использовании в рекламе произведений российских и иностранных авторов в соответствии с требованиями законодательства о рекламе и требованиями </w:t>
      </w:r>
      <w:r w:rsidDel="00000000" w:rsidR="00000000" w:rsidRPr="00000000">
        <w:rPr>
          <w:sz w:val="22"/>
          <w:szCs w:val="22"/>
          <w:rtl w:val="0"/>
        </w:rPr>
        <w:t xml:space="preserve">медиа поставщиков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монтаж и демонтаж рекламных поверхностей (постеров), а также монтаж/демонтаж самих рекламных конструкций, обеспечение демонстрации рекламных конструкций со стационарной/сменной демонстрационной поверхностью (призмавижн, скроллеры и пр.).</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контроль соблюдения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согласованных условий размещения рекламы, по обеспечению надлежащего состояния рекламной конструкции и постеров, размещенных на рекламных конструкциях, в течение всего срока размещения.</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информирование Заказчика о наличии/возможности создания специальных рекламных блоков на телеканалах и специального нестандартного размещения спонсорской рекламы, редакционных материалов и рубрик, других нестандартных способов создания и трансляции рекламного сообщения.</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оказание услуг по предоставлению эфирных справок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отчётов </w:t>
      </w:r>
      <w:r w:rsidDel="00000000" w:rsidR="00000000" w:rsidRPr="00000000">
        <w:rPr>
          <w:sz w:val="22"/>
          <w:szCs w:val="22"/>
          <w:rtl w:val="0"/>
        </w:rPr>
        <w:t xml:space="preserve">медиа контроллера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(мониторинг), по предоставлению </w:t>
      </w:r>
      <w:r w:rsidDel="00000000" w:rsidR="00000000" w:rsidRPr="00000000">
        <w:rPr>
          <w:sz w:val="22"/>
          <w:szCs w:val="22"/>
          <w:rtl w:val="0"/>
        </w:rPr>
        <w:t xml:space="preserve">отчета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 монтаже рекламных конструкций, созданию и предоставлению фотографического отчета, по предоставлению статистической информации по размещению рекламы, собираемой сайтами или системой централизованного размещения рекламы, в виде справок в печатной или электронной форме.</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работы/услуги по экспедированию, доставке, сортировке и передача Заказчику (рекламодателю) контрольных экземпляров и фотоотчетов, по учету, хранению и доставке постеров, предоставленных для размещения, по верстке, печати/изготовлению, копированию, тиражирование и доставке до </w:t>
      </w:r>
      <w:r w:rsidDel="00000000" w:rsidR="00000000" w:rsidRPr="00000000">
        <w:rPr>
          <w:sz w:val="22"/>
          <w:szCs w:val="22"/>
          <w:rtl w:val="0"/>
        </w:rPr>
        <w:t xml:space="preserve">медиа поставщиков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рекламы на соответствующих носителях.</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услуги по доработке и адаптации рекламных материалов (информации).</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оказание услуг по обеспечению закупок сопутствующих реквизитов для съемки спонсорского проекта/рекламы.</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оказание услуг по обеспечению транспортными услугами участников проекта, задействованных в съемках рекламы.</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Исполнитель приступает к оказанию услуг по настоящему Договору после подписания Сторонами соответствующего Приложения и/или Дополнительного соглашения, а также оплаты, если это условие указано в Приложении и/или Дополнительном соглашении к Договору.</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передает Исполнителю необходимую информацию о характере требуемых услуг и условиях их предоставления в согласованной сторонами форме. Исполнитель, на основании полученной информации, представляет Заказчику для одобрения сметы на оказание требуемых услуг, а также иные сведения и информацию, в согласованные с Заказчиком сроки, достаточные для оказания услуг/выполнения работ.</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 одобрения Заказчиком смет, бюджетов, объемов и иных существенных условий оказания услуг, Сторонами подписывается соответствующее Приложение и/или Дополнительное соглашение к настоящему Договору, содержащее сведения, указанные в пункте 2.1. настоящего Договора, которое является основанием для дальнейших действий Исполнителя в рамках настоящего Договора.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по просьбе Заказчика может приступить к оказанию услуг до момента подписания настоящего Договора, в том числе Приложения и/или Дополнительного соглашения к нему, при условии получения от Заказчика явно выраженного одобрения Заказчиком смет, бюджетов, объемов и иных существенных условий оказания услуг, полученных любым законным образом, позволяющим достоверно фиксировать факт отправления и получения одобрения. При этом такие действия Исполнителя будут считаться одобренными Заказчиком, и к ним будут применяться положения настоящего Договора.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обязан уведомить Заказчика о возможных последствиях, которые могут возникнуть вследствие внесения Заказчиком изменений в графики размещения рекламы, ее отмены или переноса, с целью определения Сторонами наиболее приемлемого способа исполнения обязательств, принятых на себя Сторонами в рамках настоящего Договора.</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вправе во всякое время проверять ход оказания услуг по настоящему Договору, не вмешиваясь при этом в деятельность Исполнителя.</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вправе изменить, перенести, отменить услугу (рекламную кампанию в целом или отдельные ее части) при соблюдении условий и сроков, установленных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 также при  условии, что Заказчик принимает на себя ответственность за возникающие в связи с  этим  убытки. Письменное уведомление о таком решении должно быть получено Исполнителем не позднее сроков, указанных в соответствующем Приложении и/или Дополнительном соглашении с тем, чтобы Исполнитель имел возможность реализовать решение Заказчика. Вносимые изменения в условия и сроки оказания услуг оформляются в виде Приложения и/или Дополнительного соглашения к настоящему Договору и являются его неотъемлемой частью.</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Порядок оплаты услуг.</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Стоимость услуг Исполнителя, порядок и сроки их оплаты определяются настоящим Договором, Приложениями и/или Дополнительными соглашениями к нему.</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оплачивает услуги Исполнителя, на основании выставленных им счетов, по безналичному расчету на расчетный счет Исполнителя. Порядок оплаты услуг производится согласно графику платежей, согласованному сторонами в Приложении и/или Дополнительном соглашении.</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Расчеты производятся в рублях. Датой оплаты считается дата зачисления денежных средств на </w:t>
      </w:r>
      <w:r w:rsidDel="00000000" w:rsidR="00000000" w:rsidRPr="00000000">
        <w:rPr>
          <w:sz w:val="22"/>
          <w:szCs w:val="22"/>
          <w:rtl w:val="0"/>
        </w:rPr>
        <w:t xml:space="preserve">расчетный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счет Исполнителя.</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изменения третьими лицами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стоимости размещения рекламы, по сравнению с указанной в Приложениях и/или Дополнительных соглашениях к настоящему Договору, Исполнитель незамедлительно информирует об этом Заказчика, за 30 дней до дня внесения изменений в стоимость оказания услуг. После принятия решения Заказчиком о принятии или непринятии изменения условий и стоимости услуг, Стороны принимают одно из следующих решений:</w:t>
      </w:r>
    </w:p>
    <w:p w:rsidR="00000000" w:rsidDel="00000000" w:rsidP="00000000" w:rsidRDefault="00000000" w:rsidRPr="00000000" w14:paraId="0000003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условия размещения рекламы пересматриваются с учетом изменений и подлежат дополнительному утверждению Сторонами в виде Дополнительного соглашения к соответствующему Приложению. При этом Заказчик производит доплату в согласованные сторонами сроки;</w:t>
      </w:r>
    </w:p>
    <w:p w:rsidR="00000000" w:rsidDel="00000000" w:rsidP="00000000" w:rsidRDefault="00000000" w:rsidRPr="00000000" w14:paraId="0000003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количество размещений рекламы уменьшается пропорционально увеличению тарифов с учетом изменения скидок;</w:t>
      </w:r>
    </w:p>
    <w:p w:rsidR="00000000" w:rsidDel="00000000" w:rsidP="00000000" w:rsidRDefault="00000000" w:rsidRPr="00000000" w14:paraId="0000003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соответствующее Приложение и все Дополнительные соглашения к нему расторгаются, при этом Заказчик оплачивает Исполнителю стоимость фактически оказанных услуг.</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2"/>
        </w:tabs>
        <w:spacing w:after="0" w:before="0" w:line="240" w:lineRule="auto"/>
        <w:ind w:left="851" w:right="0" w:hanging="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самостоятельно исполняют обязанности по уплате налогов и других обязательных платежей в соответствии с законодательством Российской Федерации.</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Сдача – приемка услуг</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подтверждения оказания услуг по настоящему Договору Исполнитель ежемесячно, не позднее 15 (пятнадцатого) числа месяца, следующего за месяцем, в котором были оказаны соответствующие услуги, представляет Заказчику Универсальный передаточный документ за соответствующий период (далее - УПД), оформленный в соответствии с действующим законодательством РФ.</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в течение 5 (Пяти) рабочих дней с момента получения УПД рассматривает его и направляет Исполнителю подписанный со своей стороны УПД (один экземпляр) либо в тот же срок направляет мотивированные письменные возражения по УПД.</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Заказчик в течение срока, указанного в п. 4.2.  настоящего Договора не направит Исполнителю подписанный со своей стороны УПД или мотивированное письменное возражение по нему, то УПД будет считаться подписанным Сторонами. При этом услуги/работы считаются оказанными/ выполненными надлежащим образом и подлежат оплате в полном объеме, предусмотренном соответствующими Приложениями и/или Дополнительными соглашениями к настоящему Договору.</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предоставляет Заказчику Отчет о размещении РИМ (далее - Отчет) в сроки и форме, предусмотренные в Приложении и/или Дополнительном соглашении.</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Требования к рекламным материалам</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Рекламные материалы, переданные Заказчиком, должны соответствовать требованиям действующего законодательства о рекламе.</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если рекламируемый вид деятельности подлежит лицензированию или рекламируемые товары/услуги подлежат обязательной сертификации, Заказчик обязан предоставить Исполнителю надлежащим образом заверенные копии соответствующих лицензий и сертификатов.</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обязан ознакомить Заказчика с техническими требованиями, которые предъявляются </w:t>
      </w:r>
      <w:r w:rsidDel="00000000" w:rsidR="00000000" w:rsidRPr="00000000">
        <w:rPr>
          <w:sz w:val="22"/>
          <w:szCs w:val="22"/>
          <w:rtl w:val="0"/>
        </w:rPr>
        <w:t xml:space="preserve">медиа поставщиками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для размещения рекламы. Заказчик обязан предоставить Исполнителю рекламно-информационные материалы и/или оригинал макет, в соответствии с указанными техническими требованиями.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после получения соответствующего письменного требования Исполнителя предоставляет полученные от рекламодателей сведения об использовании в рекламе произведений российских и иностранных авторов по согласованной Сторонами форме.</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Заказчик по запросу Исполнителя в течение 1 (одного) рабочего дня обязуется предоставить документальные подтверждения достоверности информации, содержащейся в переданных Исполнителю рекламных материалах.</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информирует Заказчика о несоответствии предоставленных рекламных материалов требованиям законодательства РФ и установленным техническим требованиям. Исполнитель вправе приостановить текущую работу, если такие несоответствия не будут устранены в согласованные Сторонами сроки.</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Рекламные материалы и/или оригинал-макеты должны быть переданы Исполнителю в срок, согласованный Сторонами в Приложении и/или Дополнительном соглашении к настоящему Договору. Исполнитель не несет ответственности за просрочку начала рекламной кампании, если Заказчик не предоставил рекламные материалы и/или оригинал макеты в срок, указанный в соответствующем Приложении и/или Дополнительном соглашении к настоящему Договору.</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Исполнитель вправе приостановить исполнение принятых на себя обязательств в случае неполучения от Заказчика предусмотренных настоящим разделом Договора информации и/или материалов, необходимых для оказания услуг по настоящему Договору.</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Ответственность Сторон. Освобождение от ответственности.</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ненадлежащего исполнения обязательств, предусмотренных в п. 3.2. настоящего Договора, Исполнитель вправе взыскать с Заказчика на основании письменного требования пеню в размере 0,1% (Ноль целых одна десятая процента) от стоимости просроченного исполнением обязательства за каждый день просрочки, если иной размер ответственности не установлен в соответствующем Приложении и/или Дополнительном соглашении к Договору.</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случае неразмещения рекламы или размещения рекламы с нарушением сроков старта рекламной кампании Заказчика, более чем на 5 (пять) рабочих дней, согласованных Сторонами в соответствующем Приложении и/или Дополнительном соглашении к настоящему Договору (кроме случаев, указанных в пунктах 2.4. и 5.7, 5.8. настоящего Договора), Исполнитель, по письменному требованию Заказчика: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возвращает денежные средства за </w:t>
      </w:r>
      <w:r w:rsidDel="00000000" w:rsidR="00000000" w:rsidRPr="00000000">
        <w:rPr>
          <w:sz w:val="22"/>
          <w:szCs w:val="22"/>
          <w:rtl w:val="0"/>
        </w:rPr>
        <w:t xml:space="preserve">размещенную</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размещенную с нарушением условий рекламу. Возврат осуществляется на основании соответствующего требования Заказчика;</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или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вместо возврата денежных средств, с согласия Заказчика, за свой счет производит компенсационное размещение рекламы, в объеме </w:t>
      </w:r>
      <w:r w:rsidDel="00000000" w:rsidR="00000000" w:rsidRPr="00000000">
        <w:rPr>
          <w:sz w:val="22"/>
          <w:szCs w:val="22"/>
          <w:rtl w:val="0"/>
        </w:rPr>
        <w:t xml:space="preserve">не размещенной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или размещенной с нарушением условий рекламы, в аналогичное время, на тех же рекламоносителях, в сроки по согласованию с Заказчиком.</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Ответственность за несоответствие представленных к размещению рекламных материалов требованиям законодательства в части их содержания и/или оформления несет Заказчик.</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освобождаются от ответственности за неисполнение или ненадлежащее 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обязательств, которые Стороны не могли ни предвидеть, ни предотвратить разумными мерами.</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 указанным в п. 6.5 Договора обстоятельствам чрезвычайного характера относятся наводнения, пожары, аномальные природные явления, война и военные действия, блокада, забастовки, акты или действия государственных органов и органов местного самоуправления, включая принятие правительственных и ведомственных решений, делающих невозможным исполнение соответствующего Приложения и/или Дополнительного соглашения или всего Договора в целом.</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Срок исполнения обязательств по настоящему Договору соразмерно отодвигается на время действия таких обстоятельств, если Сторонами не согласовано иное.</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Срок действия Договора, порядок прекращения Договора</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вступает в силу с момента его подписания обеими Сторонами и действует в течение 1 (одного) года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полного выполнения Сторонами своих обязательств по настоящему Договору и соответствующих Приложений и/или Дополнительных соглашений к нему.</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Если ни одна из Сторон Договора до истечения срока его действия (очередного периода его действия) не направила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второй</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Стороне уведомление о прекращении Договора (о нежелании продлевать его действие) или о необходимости внести в него изменения или дополнения, то действие Договора автоматически продлевается (пролонгируется) на последующий календарный год на прежних условиях, при этом число пролонгаций не ограничено.</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может быть расторгнут по соглашению Сторон в любое время до окончания срока его действия. При досрочном расторжении Договора заинтересованная Сторона обязана направить письменное предложение об этом другой  Стороне не менее чем за 35 (Тридцать пять) дней до предполагаемой даты расторжения. Договор в этом случае считается расторгнутым только после проведения взаиморасчетов и урегулирования Сторонами всех спорных вопросов по настоящему Договору или в связи с ним.</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одностороннем отказе Заказчика от исполнения настоящего Договора в случае несоблюдения Заказчиком сроков отказа, предусмотренных в соответствующих Приложениях и/или Дополнительных соглашениях к настоящему Договору, Исполнителю возмещаются фактически понесенные им расходы, а также возмещаются понесенные Исполнителем убытки, включая любые документально подтвержденные выплаты, осуществленные Исполнителем в этой связи третьим лицам – </w:t>
      </w:r>
      <w:r w:rsidDel="00000000" w:rsidR="00000000" w:rsidRPr="00000000">
        <w:rPr>
          <w:sz w:val="22"/>
          <w:szCs w:val="22"/>
          <w:rtl w:val="0"/>
        </w:rPr>
        <w:t xml:space="preserve">медиа поставщикам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том числе, штрафные санкции, пени и неустойки.</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Прочие условия</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Все Приложения, Дополнительные соглашения к настоящему Договору, как указанные, так и не указанные в настоящем Договоре, но подписанные уполномоченными представителями Сторон, скрепленные печатями Сторон и содержащие ссылку на настоящий Договор и/или любое Приложение и/или Дополнительное соглашение к настоящему Договору, являются неотъемлемой частью настоящего Договора.</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Письма и уведомления, связанные с выполнением поручений по настоящему Договору, могут быть направлены одной Стороной другой Стороне, в письменном виде по почте, или с использованием факсимильной связи, по электронной почте или иным образом, позволяющим достоверно фиксировать факт отправления и получения уведомления.</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обязуются все споры и разногласия по настоящему Договору разрешать путем переговоров и учета взаимных интересов. Претензия одной Стороны, вытекающая из настоящего Договора, рассматривается другой Стороной в течение 7 (Семи) рабочих дней с момента её получения.</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невозможности достижения согласия спор передается на рассмотрение в Арбитражный суд г. Москвы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Стороны подтверждают, что текст настоящего Договора (с учетом Приложений и Дополнительных соглашений) содержит все согласованные Сторонами условия, относящиеся к предмету настоящего Договора.</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урегулированным настоящим Договором, теряют юридическую силу, за исключением обстоятельств, указанных в п. 2.7 настоящего Договора</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При изменении реквизитов Сторона по Договору в течение 3 (Трех) рабочих дней с момента такого изменения письменно уведомляет об этом другую Сторону.</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Настоящий Договор составлен в 2 (двух) идентичных экземплярах – по одному для каждой из Сторон, каждый экземпляр Договора имеет равную юридическую силу.</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Раздел. Реквизиты Сторон</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49"/>
        <w:gridCol w:w="4906"/>
        <w:tblGridChange w:id="0">
          <w:tblGrid>
            <w:gridCol w:w="4949"/>
            <w:gridCol w:w="4906"/>
          </w:tblGrid>
        </w:tblGridChange>
      </w:tblGrid>
      <w:tr>
        <w:trPr>
          <w:cantSplit w:val="0"/>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Исполнитель: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ООО "</w:t>
            </w:r>
            <w:r w:rsidDel="00000000" w:rsidR="00000000" w:rsidRPr="00000000">
              <w:rPr>
                <w:b w:val="1"/>
                <w:sz w:val="22"/>
                <w:szCs w:val="22"/>
                <w:rtl w:val="0"/>
              </w:rPr>
              <w:t xml:space="preserve">Интер Диджитал</w:t>
            </w:r>
            <w:r w:rsidDel="00000000" w:rsidR="00000000" w:rsidRPr="00000000">
              <w:rPr>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spacing w:before="100" w:line="280" w:lineRule="auto"/>
              <w:ind w:left="0" w:right="211" w:firstLine="0"/>
              <w:rPr>
                <w:sz w:val="22"/>
                <w:szCs w:val="22"/>
              </w:rPr>
            </w:pPr>
            <w:r w:rsidDel="00000000" w:rsidR="00000000" w:rsidRPr="00000000">
              <w:rPr>
                <w:sz w:val="22"/>
                <w:szCs w:val="22"/>
                <w:rtl w:val="0"/>
              </w:rPr>
              <w:t xml:space="preserve">Российская Федерация, </w:t>
            </w:r>
            <w:r w:rsidDel="00000000" w:rsidR="00000000" w:rsidRPr="00000000">
              <w:rPr>
                <w:color w:val="202124"/>
                <w:sz w:val="22"/>
                <w:szCs w:val="22"/>
                <w:rtl w:val="0"/>
              </w:rPr>
              <w:t xml:space="preserve">123317, г. Москва, Пресненская набережная 12, офис 8016</w:t>
            </w:r>
            <w:r w:rsidDel="00000000" w:rsidR="00000000" w:rsidRPr="00000000">
              <w:rPr>
                <w:rtl w:val="0"/>
              </w:rPr>
            </w:r>
          </w:p>
          <w:p w:rsidR="00000000" w:rsidDel="00000000" w:rsidP="00000000" w:rsidRDefault="00000000" w:rsidRPr="00000000" w14:paraId="0000008E">
            <w:pPr>
              <w:widowControl w:val="1"/>
              <w:rPr>
                <w:b w:val="1"/>
                <w:sz w:val="22"/>
                <w:szCs w:val="22"/>
              </w:rPr>
            </w:pPr>
            <w:r w:rsidDel="00000000" w:rsidR="00000000" w:rsidRPr="00000000">
              <w:rPr>
                <w:sz w:val="22"/>
                <w:szCs w:val="22"/>
                <w:rtl w:val="0"/>
              </w:rPr>
              <w:t xml:space="preserve">ИНН </w:t>
            </w:r>
            <w:r w:rsidDel="00000000" w:rsidR="00000000" w:rsidRPr="00000000">
              <w:rPr>
                <w:sz w:val="22"/>
                <w:szCs w:val="22"/>
                <w:rtl w:val="0"/>
              </w:rPr>
              <w:t xml:space="preserve">7707466078</w:t>
            </w:r>
            <w:r w:rsidDel="00000000" w:rsidR="00000000" w:rsidRPr="00000000">
              <w:rPr>
                <w:sz w:val="22"/>
                <w:szCs w:val="22"/>
                <w:rtl w:val="0"/>
              </w:rPr>
              <w:t xml:space="preserve">, КПП </w:t>
            </w:r>
            <w:r w:rsidDel="00000000" w:rsidR="00000000" w:rsidRPr="00000000">
              <w:rPr>
                <w:sz w:val="22"/>
                <w:szCs w:val="22"/>
                <w:rtl w:val="0"/>
              </w:rPr>
              <w:t xml:space="preserve">770701001</w:t>
            </w:r>
            <w:r w:rsidDel="00000000" w:rsidR="00000000" w:rsidRPr="00000000">
              <w:rPr>
                <w:rtl w:val="0"/>
              </w:rPr>
            </w:r>
          </w:p>
          <w:p w:rsidR="00000000" w:rsidDel="00000000" w:rsidP="00000000" w:rsidRDefault="00000000" w:rsidRPr="00000000" w14:paraId="0000008F">
            <w:pPr>
              <w:widowControl w:val="1"/>
              <w:rPr>
                <w:b w:val="1"/>
                <w:sz w:val="22"/>
                <w:szCs w:val="22"/>
              </w:rPr>
            </w:pPr>
            <w:r w:rsidDel="00000000" w:rsidR="00000000" w:rsidRPr="00000000">
              <w:rPr>
                <w:sz w:val="22"/>
                <w:szCs w:val="22"/>
                <w:rtl w:val="0"/>
              </w:rPr>
              <w:t xml:space="preserve">ОГРН </w:t>
            </w:r>
            <w:r w:rsidDel="00000000" w:rsidR="00000000" w:rsidRPr="00000000">
              <w:rPr>
                <w:sz w:val="22"/>
                <w:szCs w:val="22"/>
                <w:rtl w:val="0"/>
              </w:rPr>
              <w:t xml:space="preserve">1227700240250</w:t>
            </w:r>
            <w:r w:rsidDel="00000000" w:rsidR="00000000" w:rsidRPr="00000000">
              <w:rPr>
                <w:rtl w:val="0"/>
              </w:rPr>
            </w:r>
          </w:p>
          <w:p w:rsidR="00000000" w:rsidDel="00000000" w:rsidP="00000000" w:rsidRDefault="00000000" w:rsidRPr="00000000" w14:paraId="00000090">
            <w:pPr>
              <w:widowControl w:val="1"/>
              <w:rPr>
                <w:b w:val="1"/>
                <w:sz w:val="22"/>
                <w:szCs w:val="22"/>
              </w:rPr>
            </w:pPr>
            <w:r w:rsidDel="00000000" w:rsidR="00000000" w:rsidRPr="00000000">
              <w:rPr>
                <w:sz w:val="22"/>
                <w:szCs w:val="22"/>
                <w:rtl w:val="0"/>
              </w:rPr>
              <w:t xml:space="preserve">р/с </w:t>
            </w:r>
            <w:r w:rsidDel="00000000" w:rsidR="00000000" w:rsidRPr="00000000">
              <w:rPr>
                <w:sz w:val="22"/>
                <w:szCs w:val="22"/>
                <w:rtl w:val="0"/>
              </w:rPr>
              <w:t xml:space="preserve">40702810410001053273</w:t>
            </w:r>
            <w:r w:rsidDel="00000000" w:rsidR="00000000" w:rsidRPr="00000000">
              <w:rPr>
                <w:rtl w:val="0"/>
              </w:rPr>
            </w:r>
          </w:p>
          <w:p w:rsidR="00000000" w:rsidDel="00000000" w:rsidP="00000000" w:rsidRDefault="00000000" w:rsidRPr="00000000" w14:paraId="00000091">
            <w:pPr>
              <w:widowControl w:val="1"/>
              <w:rPr>
                <w:b w:val="1"/>
                <w:sz w:val="22"/>
                <w:szCs w:val="22"/>
              </w:rPr>
            </w:pPr>
            <w:r w:rsidDel="00000000" w:rsidR="00000000" w:rsidRPr="00000000">
              <w:rPr>
                <w:sz w:val="22"/>
                <w:szCs w:val="22"/>
                <w:rtl w:val="0"/>
              </w:rPr>
              <w:t xml:space="preserve">в банке </w:t>
            </w:r>
            <w:r w:rsidDel="00000000" w:rsidR="00000000" w:rsidRPr="00000000">
              <w:rPr>
                <w:sz w:val="22"/>
                <w:szCs w:val="22"/>
                <w:rtl w:val="0"/>
              </w:rPr>
              <w:t xml:space="preserve">АО «Тинькофф Банк»</w:t>
            </w:r>
            <w:r w:rsidDel="00000000" w:rsidR="00000000" w:rsidRPr="00000000">
              <w:rPr>
                <w:rtl w:val="0"/>
              </w:rPr>
            </w:r>
          </w:p>
          <w:p w:rsidR="00000000" w:rsidDel="00000000" w:rsidP="00000000" w:rsidRDefault="00000000" w:rsidRPr="00000000" w14:paraId="00000092">
            <w:pPr>
              <w:widowControl w:val="1"/>
              <w:rPr>
                <w:b w:val="1"/>
                <w:sz w:val="22"/>
                <w:szCs w:val="22"/>
              </w:rPr>
            </w:pPr>
            <w:r w:rsidDel="00000000" w:rsidR="00000000" w:rsidRPr="00000000">
              <w:rPr>
                <w:sz w:val="22"/>
                <w:szCs w:val="22"/>
                <w:rtl w:val="0"/>
              </w:rPr>
              <w:t xml:space="preserve">к/с </w:t>
            </w:r>
            <w:r w:rsidDel="00000000" w:rsidR="00000000" w:rsidRPr="00000000">
              <w:rPr>
                <w:sz w:val="22"/>
                <w:szCs w:val="22"/>
                <w:rtl w:val="0"/>
              </w:rPr>
              <w:t xml:space="preserve">30101810145250000974</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БИК </w:t>
            </w:r>
            <w:r w:rsidDel="00000000" w:rsidR="00000000" w:rsidRPr="00000000">
              <w:rPr>
                <w:sz w:val="22"/>
                <w:szCs w:val="22"/>
                <w:rtl w:val="0"/>
              </w:rPr>
              <w:t xml:space="preserve">044525974</w:t>
            </w:r>
            <w:r w:rsidDel="00000000" w:rsidR="00000000" w:rsidRPr="00000000">
              <w:rPr>
                <w:i w:val="0"/>
                <w:smallCaps w:val="0"/>
                <w:strike w:val="0"/>
                <w:color w:val="000000"/>
                <w:sz w:val="22"/>
                <w:szCs w:val="22"/>
                <w:u w:val="none"/>
                <w:shd w:fill="auto" w:val="clear"/>
                <w:vertAlign w:val="baseline"/>
                <w:rtl w:val="0"/>
              </w:rPr>
              <w:br w:type="textWrapping"/>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b w:val="1"/>
                <w:i w:val="0"/>
                <w:smallCaps w:val="0"/>
                <w:strike w:val="0"/>
                <w:color w:val="000000"/>
                <w:sz w:val="22"/>
                <w:szCs w:val="22"/>
                <w:highlight w:val="yellow"/>
                <w:u w:val="none"/>
                <w:vertAlign w:val="baseline"/>
                <w:rtl w:val="0"/>
              </w:rPr>
              <w:t xml:space="preserve">Заказчик</w:t>
            </w:r>
            <w:r w:rsidDel="00000000" w:rsidR="00000000" w:rsidRPr="00000000">
              <w:rPr>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br w:type="textWrapping"/>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От Исполнителя:</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Генеральный директор</w:t>
            </w:r>
            <w:r w:rsidDel="00000000" w:rsidR="00000000" w:rsidRPr="00000000">
              <w:rPr>
                <w:i w:val="0"/>
                <w:smallCaps w:val="0"/>
                <w:strike w:val="0"/>
                <w:color w:val="000000"/>
                <w:sz w:val="22"/>
                <w:szCs w:val="22"/>
                <w:u w:val="none"/>
                <w:shd w:fill="auto" w:val="clear"/>
                <w:vertAlign w:val="baseline"/>
                <w:rtl w:val="0"/>
              </w:rPr>
              <w:br w:type="textWrapping"/>
            </w:r>
            <w:r w:rsidDel="00000000" w:rsidR="00000000" w:rsidRPr="00000000">
              <w:rPr>
                <w:i w:val="0"/>
                <w:smallCaps w:val="0"/>
                <w:strike w:val="0"/>
                <w:color w:val="000000"/>
                <w:sz w:val="22"/>
                <w:szCs w:val="22"/>
                <w:u w:val="none"/>
                <w:shd w:fill="auto" w:val="clear"/>
                <w:vertAlign w:val="baseline"/>
                <w:rtl w:val="0"/>
              </w:rPr>
              <w:t xml:space="preserve">ООО "</w:t>
            </w:r>
            <w:r w:rsidDel="00000000" w:rsidR="00000000" w:rsidRPr="00000000">
              <w:rPr>
                <w:sz w:val="22"/>
                <w:szCs w:val="22"/>
                <w:rtl w:val="0"/>
              </w:rPr>
              <w:t xml:space="preserve">Интер Диджитал</w:t>
            </w:r>
            <w:r w:rsidDel="00000000" w:rsidR="00000000" w:rsidRPr="00000000">
              <w:rPr>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__________________/</w:t>
            </w:r>
            <w:r w:rsidDel="00000000" w:rsidR="00000000" w:rsidRPr="00000000">
              <w:rPr>
                <w:sz w:val="22"/>
                <w:szCs w:val="22"/>
                <w:rtl w:val="0"/>
              </w:rPr>
              <w:t xml:space="preserve">Лазарев</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С</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Е</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М.П.</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highlight w:val="yellow"/>
                <w:u w:val="none"/>
                <w:vertAlign w:val="baseline"/>
              </w:rPr>
            </w:pPr>
            <w:r w:rsidDel="00000000" w:rsidR="00000000" w:rsidRPr="00000000">
              <w:rPr>
                <w:b w:val="1"/>
                <w:i w:val="0"/>
                <w:smallCaps w:val="0"/>
                <w:strike w:val="0"/>
                <w:color w:val="000000"/>
                <w:sz w:val="22"/>
                <w:szCs w:val="22"/>
                <w:highlight w:val="yellow"/>
                <w:u w:val="none"/>
                <w:vertAlign w:val="baseline"/>
                <w:rtl w:val="0"/>
              </w:rPr>
              <w:t xml:space="preserve">От Заказчика:</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br w:type="textWrapping"/>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__________________/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highlight w:val="yellow"/>
                <w:u w:val="none"/>
                <w:vertAlign w:val="baseline"/>
              </w:rPr>
            </w:pPr>
            <w:r w:rsidDel="00000000" w:rsidR="00000000" w:rsidRPr="00000000">
              <w:rPr>
                <w:i w:val="0"/>
                <w:smallCaps w:val="0"/>
                <w:strike w:val="0"/>
                <w:color w:val="000000"/>
                <w:sz w:val="22"/>
                <w:szCs w:val="22"/>
                <w:highlight w:val="yellow"/>
                <w:u w:val="none"/>
                <w:vertAlign w:val="baseline"/>
                <w:rtl w:val="0"/>
              </w:rPr>
              <w:t xml:space="preserve">М.П.</w:t>
            </w: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even"/>
      <w:footerReference r:id="rId8" w:type="default"/>
      <w:footerReference r:id="rId9" w:type="first"/>
      <w:footerReference r:id="rId10" w:type="even"/>
      <w:pgSz w:h="16838" w:w="11906" w:orient="portrait"/>
      <w:pgMar w:bottom="851" w:top="851" w:left="1134" w:right="1133" w:header="720" w:footer="44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Исполнитель 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Заказчик ___________</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widowControl w:val="1"/>
      <w:tabs>
        <w:tab w:val="center" w:leader="none" w:pos="4677"/>
        <w:tab w:val="right" w:leader="none" w:pos="9355"/>
      </w:tabs>
      <w:jc w:val="center"/>
      <w:rPr/>
    </w:pPr>
    <w:r w:rsidDel="00000000" w:rsidR="00000000" w:rsidRPr="00000000">
      <w:rPr>
        <w:rtl w:val="0"/>
      </w:rPr>
      <w:t xml:space="preserve">Исполнитель __________                                                                                               Заказчик ___________</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Исполнитель 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Заказчик ___________</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1.%2."/>
      <w:lvlJc w:val="left"/>
      <w:pPr>
        <w:ind w:left="0" w:firstLine="0"/>
      </w:pPr>
      <w:rPr>
        <w:b w:val="0"/>
        <w:color w:val="00000a"/>
        <w:sz w:val="20"/>
        <w:szCs w:val="20"/>
      </w:rPr>
    </w:lvl>
    <w:lvl w:ilvl="2">
      <w:start w:val="1"/>
      <w:numFmt w:val="decimal"/>
      <w:lvlText w:val="%1.%2.%3)"/>
      <w:lvlJc w:val="left"/>
      <w:pPr>
        <w:ind w:left="720" w:hanging="720"/>
      </w:pPr>
      <w:rPr/>
    </w:lvl>
    <w:lvl w:ilvl="3">
      <w:start w:val="1"/>
      <w:numFmt w:val="decimal"/>
      <w:lvlText w:val="%1.%2.%3.%4."/>
      <w:lvlJc w:val="left"/>
      <w:pPr>
        <w:ind w:left="1287" w:hanging="720.0000000000001"/>
      </w:pPr>
      <w:rPr/>
    </w:lvl>
    <w:lvl w:ilvl="4">
      <w:start w:val="1"/>
      <w:numFmt w:val="decimal"/>
      <w:lvlText w:val="%1.%2.%3.%4.%5."/>
      <w:lvlJc w:val="left"/>
      <w:pPr>
        <w:ind w:left="1647" w:hanging="1080"/>
      </w:pPr>
      <w:rPr/>
    </w:lvl>
    <w:lvl w:ilvl="5">
      <w:start w:val="1"/>
      <w:numFmt w:val="decimal"/>
      <w:lvlText w:val="%1.%2.%3.%4.%5.%6."/>
      <w:lvlJc w:val="left"/>
      <w:pPr>
        <w:ind w:left="1647" w:hanging="1080"/>
      </w:pPr>
      <w:rPr/>
    </w:lvl>
    <w:lvl w:ilvl="6">
      <w:start w:val="1"/>
      <w:numFmt w:val="decimal"/>
      <w:lvlText w:val="%1.%2.%3.%4.%5.%6.%7."/>
      <w:lvlJc w:val="left"/>
      <w:pPr>
        <w:ind w:left="2007" w:hanging="1440"/>
      </w:pPr>
      <w:rPr/>
    </w:lvl>
    <w:lvl w:ilvl="7">
      <w:start w:val="1"/>
      <w:numFmt w:val="decimal"/>
      <w:lvlText w:val="%1.%2.%3.%4.%5.%6.%7.%8."/>
      <w:lvlJc w:val="left"/>
      <w:pPr>
        <w:ind w:left="2007" w:hanging="1440"/>
      </w:pPr>
      <w:rPr/>
    </w:lvl>
    <w:lvl w:ilvl="8">
      <w:start w:val="1"/>
      <w:numFmt w:val="decimal"/>
      <w:lvlText w:val="%1.%2.%3.%4.%5.%6.%7.%8.%9."/>
      <w:lvlJc w:val="left"/>
      <w:pPr>
        <w:ind w:left="2367"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454" w:hanging="206.9999999999999"/>
    </w:pPr>
    <w:rPr>
      <w:b w:val="1"/>
      <w:i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a" w:default="1">
    <w:name w:val="Normal"/>
    <w:qFormat w:val="1"/>
    <w:pPr>
      <w:suppressAutoHyphens w:val="1"/>
    </w:pPr>
  </w:style>
  <w:style w:type="paragraph" w:styleId="1">
    <w:name w:val="heading 1"/>
    <w:basedOn w:val="a"/>
    <w:link w:val="10"/>
    <w:uiPriority w:val="1"/>
    <w:qFormat w:val="1"/>
    <w:rsid w:val="00AA711A"/>
    <w:pPr>
      <w:suppressAutoHyphens w:val="0"/>
      <w:autoSpaceDE w:val="0"/>
      <w:ind w:left="4454" w:hanging="207"/>
      <w:textAlignment w:val="auto"/>
      <w:outlineLvl w:val="0"/>
    </w:pPr>
    <w:rPr>
      <w:b w:val="1"/>
      <w:bCs w:val="1"/>
      <w:i w:val="1"/>
      <w:iCs w:val="1"/>
      <w:kern w:val="0"/>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tandard" w:customStyle="1">
    <w:name w:val="Standard"/>
    <w:pPr>
      <w:widowControl w:val="1"/>
      <w:suppressAutoHyphens w:val="1"/>
    </w:pPr>
    <w:rPr>
      <w:lang w:eastAsia="ru-RU"/>
    </w:r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jc w:val="both"/>
    </w:pPr>
    <w:rPr>
      <w:sz w:val="24"/>
      <w:lang w:val="ru-RU"/>
    </w:rPr>
  </w:style>
  <w:style w:type="paragraph" w:styleId="a3">
    <w:name w:val="List"/>
    <w:basedOn w:val="Textbody"/>
    <w:rPr>
      <w:rFonts w:cs="Mangal"/>
    </w:rPr>
  </w:style>
  <w:style w:type="paragraph" w:styleId="a4">
    <w:name w:val="caption"/>
    <w:basedOn w:val="Standard"/>
    <w:pPr>
      <w:suppressLineNumbers w:val="1"/>
      <w:spacing w:after="120" w:before="120"/>
    </w:pPr>
    <w:rPr>
      <w:rFonts w:cs="Mangal"/>
      <w:i w:val="1"/>
      <w:iCs w:val="1"/>
      <w:sz w:val="24"/>
      <w:szCs w:val="24"/>
    </w:rPr>
  </w:style>
  <w:style w:type="paragraph" w:styleId="Index" w:customStyle="1">
    <w:name w:val="Index"/>
    <w:basedOn w:val="Standard"/>
    <w:pPr>
      <w:suppressLineNumbers w:val="1"/>
    </w:pPr>
    <w:rPr>
      <w:rFonts w:cs="Mangal"/>
    </w:rPr>
  </w:style>
  <w:style w:type="paragraph" w:styleId="a5">
    <w:name w:val="Title"/>
    <w:basedOn w:val="Standard"/>
    <w:next w:val="a6"/>
    <w:uiPriority w:val="10"/>
    <w:qFormat w:val="1"/>
    <w:pPr>
      <w:jc w:val="center"/>
    </w:pPr>
    <w:rPr>
      <w:b w:val="1"/>
      <w:bCs w:val="1"/>
      <w:sz w:val="24"/>
      <w:szCs w:val="36"/>
      <w:lang w:val="ru-RU"/>
    </w:rPr>
  </w:style>
  <w:style w:type="paragraph" w:styleId="a6">
    <w:name w:val="Subtitle"/>
    <w:basedOn w:val="Heading"/>
    <w:next w:val="Textbody"/>
    <w:uiPriority w:val="11"/>
    <w:qFormat w:val="1"/>
    <w:pPr>
      <w:jc w:val="center"/>
    </w:pPr>
    <w:rPr>
      <w:i w:val="1"/>
      <w:iCs w:val="1"/>
    </w:rPr>
  </w:style>
  <w:style w:type="paragraph" w:styleId="Textbodyindent" w:customStyle="1">
    <w:name w:val="Text body indent"/>
    <w:basedOn w:val="Standard"/>
    <w:pPr>
      <w:ind w:left="283" w:firstLine="567"/>
      <w:jc w:val="both"/>
    </w:pPr>
    <w:rPr>
      <w:sz w:val="24"/>
      <w:lang w:val="ru-RU"/>
    </w:rPr>
  </w:style>
  <w:style w:type="paragraph" w:styleId="a7">
    <w:name w:val="header"/>
    <w:basedOn w:val="Standard"/>
    <w:pPr>
      <w:suppressLineNumbers w:val="1"/>
      <w:tabs>
        <w:tab w:val="center" w:pos="4677"/>
        <w:tab w:val="right" w:pos="9355"/>
      </w:tabs>
    </w:pPr>
  </w:style>
  <w:style w:type="paragraph" w:styleId="a8">
    <w:name w:val="Balloon Text"/>
    <w:basedOn w:val="Standard"/>
    <w:rPr>
      <w:rFonts w:ascii="Tahoma" w:cs="Tahoma" w:hAnsi="Tahoma"/>
      <w:sz w:val="16"/>
      <w:szCs w:val="16"/>
    </w:rPr>
  </w:style>
  <w:style w:type="paragraph" w:styleId="2">
    <w:name w:val="Body Text 2"/>
    <w:basedOn w:val="Standard"/>
    <w:pPr>
      <w:spacing w:after="120" w:line="480" w:lineRule="auto"/>
    </w:pPr>
  </w:style>
  <w:style w:type="paragraph" w:styleId="a9">
    <w:name w:val="footer"/>
    <w:basedOn w:val="Standard"/>
    <w:pPr>
      <w:suppressLineNumbers w:val="1"/>
      <w:tabs>
        <w:tab w:val="center" w:pos="4677"/>
        <w:tab w:val="right" w:pos="9355"/>
      </w:tabs>
    </w:pPr>
  </w:style>
  <w:style w:type="paragraph" w:styleId="3">
    <w:name w:val="Body Text 3"/>
    <w:basedOn w:val="Standard"/>
    <w:pPr>
      <w:spacing w:after="120"/>
    </w:pPr>
    <w:rPr>
      <w:sz w:val="16"/>
      <w:szCs w:val="16"/>
    </w:rPr>
  </w:style>
  <w:style w:type="paragraph" w:styleId="20">
    <w:name w:val="Body Text Indent 2"/>
    <w:basedOn w:val="Standard"/>
    <w:pPr>
      <w:ind w:left="567" w:hanging="567"/>
      <w:jc w:val="both"/>
    </w:pPr>
    <w:rPr>
      <w:rFonts w:ascii="Arial" w:hAnsi="Arial"/>
      <w:sz w:val="24"/>
      <w:lang w:val="ru-RU"/>
    </w:rPr>
  </w:style>
  <w:style w:type="paragraph" w:styleId="aa">
    <w:name w:val="annotation text"/>
    <w:basedOn w:val="Standard"/>
  </w:style>
  <w:style w:type="paragraph" w:styleId="ab">
    <w:name w:val="annotation subject"/>
    <w:basedOn w:val="aa"/>
    <w:rPr>
      <w:b w:val="1"/>
      <w:bCs w:val="1"/>
    </w:rPr>
  </w:style>
  <w:style w:type="paragraph" w:styleId="ac">
    <w:name w:val="Document Map"/>
    <w:basedOn w:val="Standard"/>
    <w:pPr>
      <w:shd w:color="auto" w:fill="000080" w:val="clear"/>
    </w:pPr>
    <w:rPr>
      <w:rFonts w:ascii="Tahoma" w:cs="Tahoma" w:hAnsi="Tahoma"/>
    </w:rPr>
  </w:style>
  <w:style w:type="paragraph" w:styleId="ad">
    <w:name w:val="List Paragraph"/>
    <w:basedOn w:val="Standard"/>
    <w:pPr>
      <w:ind w:left="708"/>
    </w:pPr>
  </w:style>
  <w:style w:type="character" w:styleId="ae">
    <w:name w:val="page number"/>
    <w:basedOn w:val="a0"/>
  </w:style>
  <w:style w:type="character" w:styleId="af">
    <w:name w:val="annotation reference"/>
    <w:rPr>
      <w:sz w:val="16"/>
      <w:szCs w:val="16"/>
    </w:rPr>
  </w:style>
  <w:style w:type="character" w:styleId="af0" w:customStyle="1">
    <w:name w:val="Нижний колонтитул Знак"/>
    <w:rPr>
      <w:lang w:val="en-US"/>
    </w:rPr>
  </w:style>
  <w:style w:type="character" w:styleId="ListLabel1" w:customStyle="1">
    <w:name w:val="ListLabel 1"/>
    <w:rPr>
      <w:b w:val="1"/>
    </w:rPr>
  </w:style>
  <w:style w:type="character" w:styleId="ListLabel2" w:customStyle="1">
    <w:name w:val="ListLabel 2"/>
    <w:rPr>
      <w:b w:val="0"/>
    </w:rPr>
  </w:style>
  <w:style w:type="character" w:styleId="ListLabel3" w:customStyle="1">
    <w:name w:val="ListLabel 3"/>
    <w:rPr>
      <w:rFonts w:cs="Arial" w:eastAsia="Times New Roman"/>
      <w:b w:val="0"/>
      <w:color w:val="00000a"/>
    </w:rPr>
  </w:style>
  <w:style w:type="character" w:styleId="ListLabel4" w:customStyle="1">
    <w:name w:val="ListLabel 4"/>
    <w:rPr>
      <w:lang w:val="en-US"/>
    </w:rPr>
  </w:style>
  <w:style w:type="character" w:styleId="ListLabel5" w:customStyle="1">
    <w:name w:val="ListLabel 5"/>
    <w:rPr>
      <w:rFonts w:cs="Courier New"/>
    </w:rPr>
  </w:style>
  <w:style w:type="character" w:styleId="ListLabel6" w:customStyle="1">
    <w:name w:val="ListLabel 6"/>
    <w:rPr>
      <w:color w:val="00000a"/>
    </w:rPr>
  </w:style>
  <w:style w:type="character" w:styleId="ListLabel7" w:customStyle="1">
    <w:name w:val="ListLabel 7"/>
    <w:rPr>
      <w:rFonts w:cs="Arial" w:eastAsia="Times New Roman"/>
      <w:b w:val="0"/>
      <w:color w:val="00000a"/>
      <w:sz w:val="20"/>
      <w:szCs w:val="20"/>
    </w:rPr>
  </w:style>
  <w:style w:type="character" w:styleId="ListLabel8" w:customStyle="1">
    <w:name w:val="ListLabel 8"/>
    <w:rPr>
      <w:rFonts w:cs="Arial" w:eastAsia="Times New Roman"/>
    </w:rPr>
  </w:style>
  <w:style w:type="numbering" w:styleId="WWNum1" w:customStyle="1">
    <w:name w:val="WWNum1"/>
    <w:basedOn w:val="a2"/>
    <w:pPr>
      <w:numPr>
        <w:numId w:val="1"/>
      </w:numPr>
    </w:pPr>
  </w:style>
  <w:style w:type="numbering" w:styleId="WWNum2" w:customStyle="1">
    <w:name w:val="WWNum2"/>
    <w:basedOn w:val="a2"/>
    <w:pPr>
      <w:numPr>
        <w:numId w:val="2"/>
      </w:numPr>
    </w:pPr>
  </w:style>
  <w:style w:type="numbering" w:styleId="WWNum3" w:customStyle="1">
    <w:name w:val="WWNum3"/>
    <w:basedOn w:val="a2"/>
    <w:pPr>
      <w:numPr>
        <w:numId w:val="3"/>
      </w:numPr>
    </w:pPr>
  </w:style>
  <w:style w:type="numbering" w:styleId="WWNum4" w:customStyle="1">
    <w:name w:val="WWNum4"/>
    <w:basedOn w:val="a2"/>
    <w:pPr>
      <w:numPr>
        <w:numId w:val="4"/>
      </w:numPr>
    </w:pPr>
  </w:style>
  <w:style w:type="numbering" w:styleId="WWNum5" w:customStyle="1">
    <w:name w:val="WWNum5"/>
    <w:basedOn w:val="a2"/>
    <w:pPr>
      <w:numPr>
        <w:numId w:val="5"/>
      </w:numPr>
    </w:pPr>
  </w:style>
  <w:style w:type="numbering" w:styleId="WWNum6" w:customStyle="1">
    <w:name w:val="WWNum6"/>
    <w:basedOn w:val="a2"/>
    <w:pPr>
      <w:numPr>
        <w:numId w:val="6"/>
      </w:numPr>
    </w:pPr>
  </w:style>
  <w:style w:type="numbering" w:styleId="WWNum7" w:customStyle="1">
    <w:name w:val="WWNum7"/>
    <w:basedOn w:val="a2"/>
    <w:pPr>
      <w:numPr>
        <w:numId w:val="7"/>
      </w:numPr>
    </w:pPr>
  </w:style>
  <w:style w:type="numbering" w:styleId="WWNum8" w:customStyle="1">
    <w:name w:val="WWNum8"/>
    <w:basedOn w:val="a2"/>
    <w:pPr>
      <w:numPr>
        <w:numId w:val="8"/>
      </w:numPr>
    </w:pPr>
  </w:style>
  <w:style w:type="numbering" w:styleId="WWNum9" w:customStyle="1">
    <w:name w:val="WWNum9"/>
    <w:basedOn w:val="a2"/>
    <w:pPr>
      <w:numPr>
        <w:numId w:val="9"/>
      </w:numPr>
    </w:pPr>
  </w:style>
  <w:style w:type="numbering" w:styleId="WWNum10" w:customStyle="1">
    <w:name w:val="WWNum10"/>
    <w:basedOn w:val="a2"/>
    <w:pPr>
      <w:numPr>
        <w:numId w:val="10"/>
      </w:numPr>
    </w:pPr>
  </w:style>
  <w:style w:type="numbering" w:styleId="WWNum11" w:customStyle="1">
    <w:name w:val="WWNum11"/>
    <w:basedOn w:val="a2"/>
    <w:pPr>
      <w:numPr>
        <w:numId w:val="11"/>
      </w:numPr>
    </w:pPr>
  </w:style>
  <w:style w:type="numbering" w:styleId="WWNum12" w:customStyle="1">
    <w:name w:val="WWNum12"/>
    <w:basedOn w:val="a2"/>
    <w:pPr>
      <w:numPr>
        <w:numId w:val="12"/>
      </w:numPr>
    </w:pPr>
  </w:style>
  <w:style w:type="numbering" w:styleId="WWNum13" w:customStyle="1">
    <w:name w:val="WWNum13"/>
    <w:basedOn w:val="a2"/>
    <w:pPr>
      <w:numPr>
        <w:numId w:val="13"/>
      </w:numPr>
    </w:pPr>
  </w:style>
  <w:style w:type="numbering" w:styleId="WWNum14" w:customStyle="1">
    <w:name w:val="WWNum14"/>
    <w:basedOn w:val="a2"/>
    <w:pPr>
      <w:numPr>
        <w:numId w:val="14"/>
      </w:numPr>
    </w:pPr>
  </w:style>
  <w:style w:type="numbering" w:styleId="WWNum15" w:customStyle="1">
    <w:name w:val="WWNum15"/>
    <w:basedOn w:val="a2"/>
    <w:pPr>
      <w:numPr>
        <w:numId w:val="15"/>
      </w:numPr>
    </w:pPr>
  </w:style>
  <w:style w:type="numbering" w:styleId="WWNum16" w:customStyle="1">
    <w:name w:val="WWNum16"/>
    <w:basedOn w:val="a2"/>
    <w:pPr>
      <w:numPr>
        <w:numId w:val="16"/>
      </w:numPr>
    </w:pPr>
  </w:style>
  <w:style w:type="numbering" w:styleId="WWNum17" w:customStyle="1">
    <w:name w:val="WWNum17"/>
    <w:basedOn w:val="a2"/>
    <w:pPr>
      <w:numPr>
        <w:numId w:val="17"/>
      </w:numPr>
    </w:pPr>
  </w:style>
  <w:style w:type="numbering" w:styleId="WWNum18" w:customStyle="1">
    <w:name w:val="WWNum18"/>
    <w:basedOn w:val="a2"/>
    <w:pPr>
      <w:numPr>
        <w:numId w:val="18"/>
      </w:numPr>
    </w:pPr>
  </w:style>
  <w:style w:type="numbering" w:styleId="WWNum19" w:customStyle="1">
    <w:name w:val="WWNum19"/>
    <w:basedOn w:val="a2"/>
    <w:pPr>
      <w:numPr>
        <w:numId w:val="19"/>
      </w:numPr>
    </w:pPr>
  </w:style>
  <w:style w:type="numbering" w:styleId="WWNum20" w:customStyle="1">
    <w:name w:val="WWNum20"/>
    <w:basedOn w:val="a2"/>
    <w:pPr>
      <w:numPr>
        <w:numId w:val="20"/>
      </w:numPr>
    </w:pPr>
  </w:style>
  <w:style w:type="numbering" w:styleId="WWNum21" w:customStyle="1">
    <w:name w:val="WWNum21"/>
    <w:basedOn w:val="a2"/>
    <w:pPr>
      <w:numPr>
        <w:numId w:val="21"/>
      </w:numPr>
    </w:pPr>
  </w:style>
  <w:style w:type="numbering" w:styleId="WWNum22" w:customStyle="1">
    <w:name w:val="WWNum22"/>
    <w:basedOn w:val="a2"/>
    <w:pPr>
      <w:numPr>
        <w:numId w:val="22"/>
      </w:numPr>
    </w:pPr>
  </w:style>
  <w:style w:type="numbering" w:styleId="WWNum23" w:customStyle="1">
    <w:name w:val="WWNum23"/>
    <w:basedOn w:val="a2"/>
    <w:pPr>
      <w:numPr>
        <w:numId w:val="23"/>
      </w:numPr>
    </w:pPr>
  </w:style>
  <w:style w:type="numbering" w:styleId="WWNum24" w:customStyle="1">
    <w:name w:val="WWNum24"/>
    <w:basedOn w:val="a2"/>
    <w:pPr>
      <w:numPr>
        <w:numId w:val="24"/>
      </w:numPr>
    </w:pPr>
  </w:style>
  <w:style w:type="numbering" w:styleId="WWNum25" w:customStyle="1">
    <w:name w:val="WWNum25"/>
    <w:basedOn w:val="a2"/>
    <w:pPr>
      <w:numPr>
        <w:numId w:val="25"/>
      </w:numPr>
    </w:pPr>
  </w:style>
  <w:style w:type="numbering" w:styleId="WWNum26" w:customStyle="1">
    <w:name w:val="WWNum26"/>
    <w:basedOn w:val="a2"/>
    <w:pPr>
      <w:numPr>
        <w:numId w:val="26"/>
      </w:numPr>
    </w:pPr>
  </w:style>
  <w:style w:type="numbering" w:styleId="WWNum27" w:customStyle="1">
    <w:name w:val="WWNum27"/>
    <w:basedOn w:val="a2"/>
    <w:pPr>
      <w:numPr>
        <w:numId w:val="27"/>
      </w:numPr>
    </w:pPr>
  </w:style>
  <w:style w:type="numbering" w:styleId="WWNum28" w:customStyle="1">
    <w:name w:val="WWNum28"/>
    <w:basedOn w:val="a2"/>
    <w:pPr>
      <w:numPr>
        <w:numId w:val="28"/>
      </w:numPr>
    </w:pPr>
  </w:style>
  <w:style w:type="numbering" w:styleId="WWNum29" w:customStyle="1">
    <w:name w:val="WWNum29"/>
    <w:basedOn w:val="a2"/>
    <w:pPr>
      <w:numPr>
        <w:numId w:val="29"/>
      </w:numPr>
    </w:pPr>
  </w:style>
  <w:style w:type="numbering" w:styleId="WWNum30" w:customStyle="1">
    <w:name w:val="WWNum30"/>
    <w:basedOn w:val="a2"/>
    <w:pPr>
      <w:numPr>
        <w:numId w:val="30"/>
      </w:numPr>
    </w:pPr>
  </w:style>
  <w:style w:type="numbering" w:styleId="WWNum31" w:customStyle="1">
    <w:name w:val="WWNum31"/>
    <w:basedOn w:val="a2"/>
    <w:pPr>
      <w:numPr>
        <w:numId w:val="31"/>
      </w:numPr>
    </w:pPr>
  </w:style>
  <w:style w:type="numbering" w:styleId="WWNum32" w:customStyle="1">
    <w:name w:val="WWNum32"/>
    <w:basedOn w:val="a2"/>
    <w:pPr>
      <w:numPr>
        <w:numId w:val="32"/>
      </w:numPr>
    </w:pPr>
  </w:style>
  <w:style w:type="numbering" w:styleId="WWNum33" w:customStyle="1">
    <w:name w:val="WWNum33"/>
    <w:basedOn w:val="a2"/>
    <w:pPr>
      <w:numPr>
        <w:numId w:val="33"/>
      </w:numPr>
    </w:pPr>
  </w:style>
  <w:style w:type="numbering" w:styleId="WWNum34" w:customStyle="1">
    <w:name w:val="WWNum34"/>
    <w:basedOn w:val="a2"/>
    <w:pPr>
      <w:numPr>
        <w:numId w:val="34"/>
      </w:numPr>
    </w:pPr>
  </w:style>
  <w:style w:type="numbering" w:styleId="WWNum35" w:customStyle="1">
    <w:name w:val="WWNum35"/>
    <w:basedOn w:val="a2"/>
    <w:pPr>
      <w:numPr>
        <w:numId w:val="35"/>
      </w:numPr>
    </w:pPr>
  </w:style>
  <w:style w:type="numbering" w:styleId="WWNum36" w:customStyle="1">
    <w:name w:val="WWNum36"/>
    <w:basedOn w:val="a2"/>
    <w:pPr>
      <w:numPr>
        <w:numId w:val="36"/>
      </w:numPr>
    </w:pPr>
  </w:style>
  <w:style w:type="numbering" w:styleId="WWNum37" w:customStyle="1">
    <w:name w:val="WWNum37"/>
    <w:basedOn w:val="a2"/>
    <w:pPr>
      <w:numPr>
        <w:numId w:val="37"/>
      </w:numPr>
    </w:pPr>
  </w:style>
  <w:style w:type="numbering" w:styleId="WWNum38" w:customStyle="1">
    <w:name w:val="WWNum38"/>
    <w:basedOn w:val="a2"/>
    <w:pPr>
      <w:numPr>
        <w:numId w:val="38"/>
      </w:numPr>
    </w:pPr>
  </w:style>
  <w:style w:type="numbering" w:styleId="WWNum39" w:customStyle="1">
    <w:name w:val="WWNum39"/>
    <w:basedOn w:val="a2"/>
    <w:pPr>
      <w:numPr>
        <w:numId w:val="39"/>
      </w:numPr>
    </w:pPr>
  </w:style>
  <w:style w:type="numbering" w:styleId="WWNum40" w:customStyle="1">
    <w:name w:val="WWNum40"/>
    <w:basedOn w:val="a2"/>
    <w:pPr>
      <w:numPr>
        <w:numId w:val="40"/>
      </w:numPr>
    </w:pPr>
  </w:style>
  <w:style w:type="numbering" w:styleId="WWNum41" w:customStyle="1">
    <w:name w:val="WWNum41"/>
    <w:basedOn w:val="a2"/>
    <w:pPr>
      <w:numPr>
        <w:numId w:val="41"/>
      </w:numPr>
    </w:pPr>
  </w:style>
  <w:style w:type="numbering" w:styleId="WWNum42" w:customStyle="1">
    <w:name w:val="WWNum42"/>
    <w:basedOn w:val="a2"/>
    <w:pPr>
      <w:numPr>
        <w:numId w:val="42"/>
      </w:numPr>
    </w:pPr>
  </w:style>
  <w:style w:type="table" w:styleId="af1">
    <w:name w:val="Table Grid"/>
    <w:basedOn w:val="a1"/>
    <w:uiPriority w:val="39"/>
    <w:rsid w:val="00D8407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2">
    <w:name w:val="Body Text Indent"/>
    <w:basedOn w:val="a"/>
    <w:link w:val="af3"/>
    <w:rsid w:val="00346CE2"/>
    <w:pPr>
      <w:widowControl w:val="1"/>
      <w:suppressAutoHyphens w:val="0"/>
      <w:autoSpaceDN w:val="1"/>
      <w:ind w:firstLine="567"/>
      <w:textAlignment w:val="auto"/>
    </w:pPr>
    <w:rPr>
      <w:kern w:val="0"/>
      <w:lang w:eastAsia="ru-RU" w:val="ru-RU"/>
    </w:rPr>
  </w:style>
  <w:style w:type="character" w:styleId="af3" w:customStyle="1">
    <w:name w:val="Основной текст с отступом Знак"/>
    <w:basedOn w:val="a0"/>
    <w:link w:val="af2"/>
    <w:rsid w:val="00346CE2"/>
    <w:rPr>
      <w:kern w:val="0"/>
      <w:lang w:eastAsia="ru-RU" w:val="ru-RU"/>
    </w:rPr>
  </w:style>
  <w:style w:type="character" w:styleId="WW8Num1z0" w:customStyle="1">
    <w:name w:val="WW8Num1z0"/>
    <w:rsid w:val="008150E5"/>
    <w:rPr>
      <w:b w:val="1"/>
    </w:rPr>
  </w:style>
  <w:style w:type="paragraph" w:styleId="af4">
    <w:name w:val="Body Text"/>
    <w:basedOn w:val="a"/>
    <w:link w:val="af5"/>
    <w:uiPriority w:val="99"/>
    <w:semiHidden w:val="1"/>
    <w:unhideWhenUsed w:val="1"/>
    <w:rsid w:val="00AA711A"/>
    <w:pPr>
      <w:spacing w:after="120"/>
    </w:pPr>
  </w:style>
  <w:style w:type="character" w:styleId="af5" w:customStyle="1">
    <w:name w:val="Основной текст Знак"/>
    <w:basedOn w:val="a0"/>
    <w:link w:val="af4"/>
    <w:uiPriority w:val="99"/>
    <w:semiHidden w:val="1"/>
    <w:rsid w:val="00AA711A"/>
  </w:style>
  <w:style w:type="character" w:styleId="10" w:customStyle="1">
    <w:name w:val="Заголовок 1 Знак"/>
    <w:basedOn w:val="a0"/>
    <w:link w:val="1"/>
    <w:uiPriority w:val="1"/>
    <w:rsid w:val="00AA711A"/>
    <w:rPr>
      <w:b w:val="1"/>
      <w:bCs w:val="1"/>
      <w:i w:val="1"/>
      <w:iCs w:val="1"/>
      <w:kern w:val="0"/>
      <w:lang w:val="ru-RU"/>
    </w:rPr>
  </w:style>
  <w:style w:type="paragraph" w:styleId="af6">
    <w:name w:val="Revision"/>
    <w:hidden w:val="1"/>
    <w:uiPriority w:val="99"/>
    <w:semiHidden w:val="1"/>
    <w:rsid w:val="00481314"/>
    <w:pPr>
      <w:widowControl w:val="1"/>
      <w:autoSpaceDN w:val="1"/>
      <w:textAlignment w:val="auto"/>
    </w:p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dg3MZH213d4ZnN3/De0D60VYBQ==">CgMxLjAyCGguZ2pkZ3hzOAByITFVYms4cW91WkYxN0VXWm4wbWNnaDFuOHBkWU5LS0tZNw==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2022-03-04T14:06:00Z</dcterms:created>
  <dc:creator>NSamarets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